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80F8C">
      <w:pPr>
        <w:pStyle w:val="6"/>
        <w:rPr>
          <w:rFonts w:ascii="Times New Roman"/>
        </w:rPr>
      </w:pPr>
      <w:r>
        <w:rPr>
          <w:rFonts w:ascii="Times New Roman"/>
        </w:rPr>
        <w:t>ICS </w:t>
      </w:r>
    </w:p>
    <w:p w14:paraId="12B3E8FC">
      <w:pPr>
        <w:pStyle w:val="7"/>
      </w:pPr>
      <w:r>
        <w:t>DB</w:t>
      </w:r>
      <w:bookmarkStart w:id="0" w:name="c3"/>
      <w:r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61</w:t>
      </w:r>
      <w:r>
        <w:fldChar w:fldCharType="end"/>
      </w:r>
      <w:bookmarkEnd w:id="0"/>
    </w:p>
    <w:p w14:paraId="3FA5E07A">
      <w:pPr>
        <w:pStyle w:val="9"/>
        <w:rPr>
          <w:rFonts w:ascii="Times New Roman" w:hAnsi="Times New Roman"/>
        </w:rPr>
      </w:pPr>
      <w:bookmarkStart w:id="1" w:name="c4"/>
      <w:r>
        <w:rPr>
          <w:rFonts w:ascii="Times New Roman" w:hAnsi="Times New Roman"/>
        </w:rPr>
        <w:fldChar w:fldCharType="begin">
          <w:ffData>
            <w:name w:val="c4"/>
            <w:enabled/>
            <w:calcOnExit w:val="0"/>
            <w:textInput/>
          </w:ffData>
        </w:fldChar>
      </w:r>
      <w:r>
        <w:rPr>
          <w:rFonts w:ascii="Times New Roman" w:hAnsi="Times New Roman"/>
        </w:rPr>
        <w:instrText xml:space="preserve"> FORMTEXT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陕西省</w:t>
      </w:r>
      <w:r>
        <w:rPr>
          <w:rFonts w:ascii="Times New Roman" w:hAnsi="Times New Roman"/>
        </w:rPr>
        <w:fldChar w:fldCharType="end"/>
      </w:r>
      <w:bookmarkEnd w:id="1"/>
      <w:r>
        <w:rPr>
          <w:rFonts w:ascii="Times New Roman" w:hAnsi="Times New Roman"/>
        </w:rPr>
        <w:t>地方标准</w:t>
      </w:r>
    </w:p>
    <w:p w14:paraId="46F966E8">
      <w:pPr>
        <w:pStyle w:val="10"/>
        <w:rPr>
          <w:rFonts w:ascii="Times New Roman"/>
        </w:rPr>
      </w:pPr>
      <w:r>
        <w:rPr>
          <w:rFonts w:ascii="Times New Roman"/>
        </w:rPr>
        <w:t xml:space="preserve">DB </w:t>
      </w:r>
      <w:bookmarkStart w:id="2" w:name="StdNo0"/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61</w:t>
      </w:r>
      <w:r>
        <w:rPr>
          <w:rFonts w:ascii="Times New Roman"/>
        </w:rPr>
        <w:fldChar w:fldCharType="end"/>
      </w:r>
      <w:bookmarkEnd w:id="2"/>
      <w:r>
        <w:rPr>
          <w:rFonts w:ascii="Times New Roman"/>
        </w:rPr>
        <w:t xml:space="preserve">/T </w:t>
      </w:r>
      <w:r>
        <w:rPr>
          <w:rFonts w:ascii="Times New Roman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bookmarkStart w:id="3" w:name="StdNo1"/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XXXXX</w:t>
      </w:r>
      <w:r>
        <w:rPr>
          <w:rFonts w:ascii="Times New Roman"/>
        </w:rPr>
        <w:fldChar w:fldCharType="end"/>
      </w:r>
      <w:bookmarkEnd w:id="3"/>
      <w:r>
        <w:rPr>
          <w:rFonts w:ascii="Times New Roman"/>
        </w:rPr>
        <w:t>—</w:t>
      </w:r>
      <w:bookmarkStart w:id="4" w:name="StdNo2"/>
      <w:r>
        <w:rPr>
          <w:rFonts w:ascii="Times New Roman" w:hAnsi="Times New Roman" w:eastAsia="黑体" w:cs="Times New Roman"/>
          <w:sz w:val="28"/>
          <w:szCs w:val="28"/>
          <w:lang w:val="en-US" w:eastAsia="zh-CN" w:bidi="ar-SA"/>
        </w:rPr>
        <w:fldChar w:fldCharType="begin">
          <w:ffData>
            <w:name w:val="StdNo2"/>
            <w:enabled/>
            <w:calcOnExit w:val="0"/>
            <w:textInput>
              <w:default w:val="2023"/>
              <w:maxLength w:val="4"/>
            </w:textInput>
          </w:ffData>
        </w:fldChar>
      </w:r>
      <w:r>
        <w:rPr>
          <w:rFonts w:ascii="Times New Roman" w:hAnsi="Times New Roman" w:eastAsia="黑体" w:cs="Times New Roman"/>
          <w:sz w:val="28"/>
          <w:szCs w:val="28"/>
          <w:lang w:val="en-US" w:eastAsia="zh-CN" w:bidi="ar-SA"/>
        </w:rPr>
        <w:instrText xml:space="preserve">FORMTEXT</w:instrText>
      </w:r>
      <w:r>
        <w:rPr>
          <w:rFonts w:ascii="Times New Roman" w:hAnsi="Times New Roman" w:eastAsia="黑体" w:cs="Times New Roman"/>
          <w:sz w:val="28"/>
          <w:szCs w:val="28"/>
          <w:lang w:val="en-US" w:eastAsia="zh-CN" w:bidi="ar-SA"/>
        </w:rPr>
        <w:fldChar w:fldCharType="separate"/>
      </w:r>
      <w:r>
        <w:rPr>
          <w:rFonts w:ascii="Times New Roman" w:hAnsi="Times New Roman" w:eastAsia="黑体" w:cs="Times New Roman"/>
          <w:sz w:val="28"/>
          <w:szCs w:val="28"/>
          <w:lang w:val="en-US" w:eastAsia="zh-CN" w:bidi="ar-SA"/>
        </w:rPr>
        <w:t>2023</w:t>
      </w:r>
      <w:r>
        <w:rPr>
          <w:rFonts w:ascii="Times New Roman" w:hAnsi="Times New Roman" w:eastAsia="黑体" w:cs="Times New Roman"/>
          <w:sz w:val="28"/>
          <w:szCs w:val="28"/>
          <w:lang w:val="en-US" w:eastAsia="zh-CN" w:bidi="ar-SA"/>
        </w:rPr>
        <w:fldChar w:fldCharType="end"/>
      </w:r>
      <w:bookmarkEnd w:id="4"/>
    </w:p>
    <w:p w14:paraId="2E10E4BE">
      <w:pPr>
        <w:pStyle w:val="10"/>
        <w:rPr>
          <w:rFonts w:ascii="Times New Roman"/>
        </w:rPr>
      </w:pPr>
    </w:p>
    <w:p w14:paraId="0304BFE6">
      <w:pPr>
        <w:pStyle w:val="10"/>
        <w:rPr>
          <w:rFonts w:ascii="Times New Roman"/>
        </w:rPr>
      </w:pPr>
    </w:p>
    <w:p w14:paraId="63237B5A">
      <w:pPr>
        <w:pStyle w:val="11"/>
        <w:rPr>
          <w:rFonts w:ascii="Times New Roman"/>
        </w:rPr>
      </w:pPr>
      <w:bookmarkStart w:id="5" w:name="StdName"/>
      <w:r>
        <w:rPr>
          <w:rFonts w:ascii="Times New Roman" w:hAnsi="Times New Roman" w:eastAsia="黑体" w:cs="Times New Roman"/>
          <w:sz w:val="52"/>
          <w:lang w:val="en-US" w:eastAsia="zh-CN" w:bidi="ar-SA"/>
        </w:rPr>
        <w:fldChar w:fldCharType="begin">
          <w:ffData>
            <w:name w:val="StdName"/>
            <w:enabled/>
            <w:calcOnExit w:val="0"/>
            <w:textInput>
              <w:default w:val="鲜食葡萄采收技术规程（草案）"/>
            </w:textInput>
          </w:ffData>
        </w:fldChar>
      </w:r>
      <w:r>
        <w:rPr>
          <w:rFonts w:ascii="Times New Roman" w:hAnsi="Times New Roman" w:eastAsia="黑体" w:cs="Times New Roman"/>
          <w:sz w:val="52"/>
          <w:lang w:val="en-US" w:eastAsia="zh-CN" w:bidi="ar-SA"/>
        </w:rPr>
        <w:instrText xml:space="preserve">FORMTEXT</w:instrText>
      </w:r>
      <w:r>
        <w:rPr>
          <w:rFonts w:ascii="Times New Roman" w:hAnsi="Times New Roman" w:eastAsia="黑体" w:cs="Times New Roman"/>
          <w:sz w:val="52"/>
          <w:lang w:val="en-US" w:eastAsia="zh-CN" w:bidi="ar-SA"/>
        </w:rPr>
        <w:fldChar w:fldCharType="separate"/>
      </w:r>
      <w:r>
        <w:rPr>
          <w:rFonts w:hint="eastAsia" w:ascii="Times New Roman" w:cs="Times New Roman"/>
          <w:sz w:val="52"/>
          <w:lang w:val="en-US" w:eastAsia="zh-CN" w:bidi="ar-SA"/>
        </w:rPr>
        <w:t>猕猴桃人工辅助授粉技术</w:t>
      </w:r>
      <w:r>
        <w:rPr>
          <w:rFonts w:ascii="Times New Roman" w:hAnsi="Times New Roman" w:eastAsia="黑体" w:cs="Times New Roman"/>
          <w:sz w:val="52"/>
          <w:lang w:val="en-US" w:eastAsia="zh-CN" w:bidi="ar-SA"/>
        </w:rPr>
        <w:t>规程（草案）</w:t>
      </w:r>
      <w:r>
        <w:rPr>
          <w:rFonts w:ascii="Times New Roman" w:hAnsi="Times New Roman" w:eastAsia="黑体" w:cs="Times New Roman"/>
          <w:sz w:val="52"/>
          <w:lang w:val="en-US" w:eastAsia="zh-CN" w:bidi="ar-SA"/>
        </w:rPr>
        <w:fldChar w:fldCharType="end"/>
      </w:r>
      <w:bookmarkEnd w:id="5"/>
    </w:p>
    <w:p w14:paraId="62314FFF">
      <w:pPr>
        <w:pStyle w:val="1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ascii="Times New Roman"/>
        </w:rPr>
      </w:pPr>
      <w:r>
        <w:rPr>
          <w:rFonts w:hint="eastAsia" w:ascii="Times New Roman"/>
        </w:rPr>
        <w:t xml:space="preserve">Technical Regulation for </w:t>
      </w:r>
      <w:r>
        <w:rPr>
          <w:rFonts w:hint="eastAsia" w:ascii="Times New Roman"/>
          <w:lang w:val="en-US" w:eastAsia="zh-CN"/>
        </w:rPr>
        <w:t>Artificial P</w:t>
      </w:r>
      <w:r>
        <w:rPr>
          <w:rFonts w:hint="eastAsia" w:ascii="Times New Roman"/>
        </w:rPr>
        <w:t xml:space="preserve">ollination of </w:t>
      </w:r>
      <w:r>
        <w:rPr>
          <w:rFonts w:hint="eastAsia" w:ascii="Times New Roman"/>
          <w:lang w:val="en-US" w:eastAsia="zh-CN"/>
        </w:rPr>
        <w:t>K</w:t>
      </w:r>
      <w:r>
        <w:rPr>
          <w:rFonts w:hint="eastAsia" w:ascii="Times New Roman"/>
        </w:rPr>
        <w:t>iwi</w:t>
      </w:r>
      <w:r>
        <w:rPr>
          <w:rFonts w:hint="eastAsia" w:ascii="Times New Roman"/>
          <w:lang w:val="en-US" w:eastAsia="zh-CN"/>
        </w:rPr>
        <w:t xml:space="preserve"> Fruit</w:t>
      </w:r>
      <w:r>
        <w:rPr>
          <w:rFonts w:hint="eastAsia" w:ascii="Times New Roman"/>
        </w:rPr>
        <w:t xml:space="preserve"> (Draft)</w:t>
      </w:r>
    </w:p>
    <w:p w14:paraId="436653FE">
      <w:pPr>
        <w:pStyle w:val="13"/>
      </w:pPr>
    </w:p>
    <w:p w14:paraId="3867115E">
      <w:pPr>
        <w:pStyle w:val="14"/>
      </w:pPr>
      <w:bookmarkStart w:id="6" w:name="FY"/>
      <w:r>
        <w:rPr>
          <w:rFonts w:ascii="Times New Roman" w:hAnsi="Times New Roman" w:eastAsia="黑体" w:cs="Times New Roman"/>
          <w:sz w:val="28"/>
          <w:lang w:val="en-US" w:eastAsia="zh-CN" w:bidi="ar-SA"/>
        </w:rPr>
        <w:fldChar w:fldCharType="begin">
          <w:ffData>
            <w:name w:val="FY"/>
            <w:enabled/>
            <w:calcOnExit w:val="0"/>
            <w:textInput>
              <w:default w:val="2023"/>
              <w:maxLength w:val="4"/>
            </w:textInput>
          </w:ffData>
        </w:fldChar>
      </w:r>
      <w:r>
        <w:rPr>
          <w:rFonts w:ascii="Times New Roman" w:hAnsi="Times New Roman" w:eastAsia="黑体" w:cs="Times New Roman"/>
          <w:sz w:val="28"/>
          <w:lang w:val="en-US" w:eastAsia="zh-CN" w:bidi="ar-SA"/>
        </w:rPr>
        <w:instrText xml:space="preserve">FORMTEXT</w:instrText>
      </w:r>
      <w:r>
        <w:rPr>
          <w:rFonts w:ascii="Times New Roman" w:hAnsi="Times New Roman" w:eastAsia="黑体" w:cs="Times New Roman"/>
          <w:sz w:val="28"/>
          <w:lang w:val="en-US" w:eastAsia="zh-CN" w:bidi="ar-SA"/>
        </w:rPr>
        <w:fldChar w:fldCharType="separate"/>
      </w:r>
      <w:r>
        <w:rPr>
          <w:rFonts w:ascii="Times New Roman" w:hAnsi="Times New Roman" w:eastAsia="黑体" w:cs="Times New Roman"/>
          <w:sz w:val="28"/>
          <w:lang w:val="en-US" w:eastAsia="zh-CN" w:bidi="ar-SA"/>
        </w:rPr>
        <w:t>2023</w:t>
      </w:r>
      <w:r>
        <w:rPr>
          <w:rFonts w:ascii="Times New Roman" w:hAnsi="Times New Roman" w:eastAsia="黑体" w:cs="Times New Roman"/>
          <w:sz w:val="28"/>
          <w:lang w:val="en-US" w:eastAsia="zh-CN" w:bidi="ar-SA"/>
        </w:rPr>
        <w:fldChar w:fldCharType="end"/>
      </w:r>
      <w:bookmarkEnd w:id="6"/>
      <w:r>
        <w:t xml:space="preserve"> - </w:t>
      </w:r>
      <w:r>
        <w:fldChar w:fldCharType="begin">
          <w:ffData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r>
        <w:t xml:space="preserve"> - </w:t>
      </w:r>
      <w: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7" w:name="FD"/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7"/>
      <w:r>
        <w:t>发布</w: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4445" r="0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05pt;margin-top:728.5pt;height:0pt;width:481.9pt;mso-position-vertical-relative:page;z-index:251659264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YdrPNYAAAALAQAADwAAAAAAAAABACAAAAAiAAAAZHJzL2Rvd25yZXYueG1sUEsBAhQA&#10;FAAAAAgAh07iQJ8fASz0AQAA5A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7FE0BF94">
      <w:pPr>
        <w:pStyle w:val="16"/>
      </w:pPr>
      <w: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8" w:name="SY"/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8"/>
      <w:r>
        <w:t xml:space="preserve"> - </w:t>
      </w:r>
      <w: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9" w:name="SM"/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9"/>
      <w:r>
        <w:t xml:space="preserve"> - </w:t>
      </w:r>
      <w: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0" w:name="SD"/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10"/>
      <w:r>
        <w:t>实施</w:t>
      </w:r>
    </w:p>
    <w:p w14:paraId="220AF711">
      <w:pPr>
        <w:pStyle w:val="18"/>
        <w:rPr>
          <w:rFonts w:ascii="Times New Roman"/>
        </w:rPr>
      </w:pPr>
      <w:bookmarkStart w:id="11" w:name="fm"/>
      <w:r>
        <w:rPr>
          <w:rFonts w:ascii="Times New Roman"/>
          <w:w w:val="10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55pt;margin-top:-310.45pt;height:24pt;width:100pt;z-index:-251654144;mso-width-relative:page;mso-height-relative:page;" fillcolor="#FFFFFF" filled="t" stroked="f" coordsize="21600,2160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+bXu&#10;1tkAAAANAQAADwAAAAAAAAABACAAAAAiAAAAZHJzL2Rvd25yZXYueG1sUEsBAhQAFAAAAAgAh07i&#10;QJF4+ACvAQAAXwMAAA4AAAAAAAAAAQAgAAAAKAEAAGRycy9lMm9Eb2MueG1sUEsFBgAAAAAGAAYA&#10;WQEAAEk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/>
          <w:w w:val="10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7.55pt;margin-top:-585.45pt;height:18pt;width:90pt;z-index:-251655168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38mK&#10;EdoAAAAPAQAADwAAAAAAAAABACAAAAAiAAAAZHJzL2Rvd25yZXYueG1sUEsBAhQAFAAAAAgAh07i&#10;QA8mSYGuAQAAXwMAAA4AAAAAAAAAAQAgAAAAKQEAAGRycy9lMm9Eb2MueG1sUEsFBgAAAAAGAAYA&#10;WQEAAEk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/>
          <w:w w:val="1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6.6pt;margin-top:-552.85pt;height:0pt;width:481.9pt;z-index:251660288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7JZGg2AAAAA8BAAAPAAAAAAAAAAEAIAAAACIAAABkcnMvZG93bnJldi54bWxQSwEC&#10;FAAUAAAACACHTuJAuGMpmPQBAADkAwAADgAAAAAAAAABACAAAAAn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</w:rPr>
        <w:fldChar w:fldCharType="begin">
          <w:ffData>
            <w:name w:val="fm"/>
            <w:enabled/>
            <w:calcOnExit w:val="0"/>
            <w:textInput/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陕西省市场监督管理局</w:t>
      </w:r>
      <w:r>
        <w:rPr>
          <w:rFonts w:ascii="Times New Roman"/>
        </w:rPr>
        <w:fldChar w:fldCharType="end"/>
      </w:r>
      <w:bookmarkEnd w:id="11"/>
      <w:r>
        <w:rPr>
          <w:rFonts w:ascii="Times New Roman"/>
        </w:rPr>
        <w:t>   </w:t>
      </w:r>
      <w:r>
        <w:rPr>
          <w:rStyle w:val="21"/>
          <w:rFonts w:ascii="Times New Roman"/>
        </w:rPr>
        <w:t>发布</w:t>
      </w:r>
    </w:p>
    <w:p w14:paraId="40C40160">
      <w:pPr>
        <w:pStyle w:val="20"/>
        <w:ind w:firstLine="0" w:firstLineChars="0"/>
        <w:rPr>
          <w:rFonts w:hint="eastAsia" w:ascii="Times New Roman"/>
        </w:rPr>
        <w:sectPr>
          <w:headerReference r:id="rId3" w:type="default"/>
          <w:headerReference r:id="rId4" w:type="even"/>
          <w:footerReference r:id="rId5" w:type="even"/>
          <w:pgSz w:w="11906" w:h="16838"/>
          <w:pgMar w:top="567" w:right="1134" w:bottom="1134" w:left="1417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</w:p>
    <w:p w14:paraId="44C569D9">
      <w:pPr>
        <w:pStyle w:val="22"/>
        <w:rPr>
          <w:rFonts w:hint="eastAsia" w:ascii="仿宋" w:hAnsi="仿宋" w:eastAsia="仿宋" w:cs="仿宋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2" w:name="_Toc39742146"/>
      <w:r>
        <w:t>前</w:t>
      </w:r>
      <w:bookmarkStart w:id="13" w:name="BKQY"/>
      <w:r>
        <w:t>  言</w:t>
      </w:r>
      <w:bookmarkEnd w:id="12"/>
      <w:bookmarkEnd w:id="13"/>
    </w:p>
    <w:p w14:paraId="77382A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本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文件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按照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GB/T 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1.1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—20</w:t>
      </w:r>
      <w:r>
        <w:rPr>
          <w:rFonts w:hint="eastAsia" w:ascii="宋体" w:hAnsi="宋体" w:cs="宋体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《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标准化工作导则 第1部分：标准的结构和编写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》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给出的规则起草。</w:t>
      </w:r>
    </w:p>
    <w:p w14:paraId="059C7D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本文件由渭南市农业技术推广中心提出。</w:t>
      </w:r>
    </w:p>
    <w:p w14:paraId="5C15ED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本文件由陕西省农业农村厅归口。</w:t>
      </w:r>
    </w:p>
    <w:p w14:paraId="4E3038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本文件主要起草单位：渭南市农业技术推广中心、陕西省农村科技开发中心、渭南猕猴桃试验站、西安市农业技术推广中心、宝鸡市园艺技术工作站。</w:t>
      </w:r>
    </w:p>
    <w:p w14:paraId="640369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本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文件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主要起草人：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李岗涛、孟创鸽、张焕玲、郭桂英、魏小娟、马青青、骆朝华、曹红霞、丁晓霞、唐磊、杨波、刘刚、苏佳妮、李永武、王亚国。</w:t>
      </w:r>
    </w:p>
    <w:p w14:paraId="6D4EA9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本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文件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由渭南市农业技术推广中心负责解释。</w:t>
      </w:r>
    </w:p>
    <w:p w14:paraId="141332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本</w:t>
      </w:r>
      <w:r>
        <w:rPr>
          <w:rFonts w:hint="eastAsia" w:ascii="宋体" w:hAnsi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文件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为首次发布。</w:t>
      </w:r>
    </w:p>
    <w:p w14:paraId="49B9AF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联系信息如下：</w:t>
      </w:r>
    </w:p>
    <w:p w14:paraId="3DC612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单位：渭南市农业技术推广中心</w:t>
      </w:r>
    </w:p>
    <w:p w14:paraId="18FAC3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电话：18829785980</w:t>
      </w:r>
    </w:p>
    <w:p w14:paraId="491791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地址：渭南市临渭区东风大街中段60号</w:t>
      </w:r>
    </w:p>
    <w:p w14:paraId="1F868B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1"/>
          <w:szCs w:val="21"/>
          <w:shd w:val="clear" w:fill="FFFFFF"/>
          <w:lang w:val="en-US" w:eastAsia="zh-CN" w:bidi="ar"/>
        </w:rPr>
        <w:t>邮编：714000</w:t>
      </w:r>
    </w:p>
    <w:p w14:paraId="774981F4">
      <w:pPr>
        <w:jc w:val="left"/>
        <w:rPr>
          <w:rFonts w:hint="eastAsia" w:ascii="Times New Roman" w:hAnsi="Times New Roman" w:eastAsia="黑体"/>
          <w:sz w:val="56"/>
          <w:szCs w:val="32"/>
        </w:rPr>
      </w:pPr>
    </w:p>
    <w:p w14:paraId="128E929D">
      <w:pPr>
        <w:jc w:val="center"/>
        <w:outlineLvl w:val="0"/>
        <w:rPr>
          <w:rFonts w:hint="eastAsia" w:ascii="Times New Roman" w:hAnsi="Times New Roman" w:eastAsia="黑体"/>
          <w:sz w:val="56"/>
          <w:szCs w:val="32"/>
          <w:lang w:eastAsia="zh-CN"/>
        </w:rPr>
      </w:pPr>
      <w:bookmarkStart w:id="14" w:name="_Toc31964"/>
    </w:p>
    <w:p w14:paraId="6141FCC9">
      <w:pPr>
        <w:jc w:val="center"/>
        <w:outlineLvl w:val="0"/>
        <w:rPr>
          <w:rFonts w:hint="eastAsia" w:ascii="Times New Roman" w:hAnsi="Times New Roman" w:eastAsia="黑体"/>
          <w:sz w:val="56"/>
          <w:szCs w:val="32"/>
          <w:lang w:eastAsia="zh-CN"/>
        </w:rPr>
      </w:pPr>
    </w:p>
    <w:p w14:paraId="21658503">
      <w:pPr>
        <w:jc w:val="center"/>
        <w:outlineLvl w:val="0"/>
        <w:rPr>
          <w:rFonts w:hint="eastAsia" w:ascii="Times New Roman" w:hAnsi="Times New Roman" w:eastAsia="黑体"/>
          <w:sz w:val="56"/>
          <w:szCs w:val="32"/>
          <w:lang w:eastAsia="zh-CN"/>
        </w:rPr>
      </w:pPr>
    </w:p>
    <w:p w14:paraId="41CC606B">
      <w:pPr>
        <w:jc w:val="center"/>
        <w:outlineLvl w:val="0"/>
        <w:rPr>
          <w:rFonts w:hint="eastAsia" w:ascii="Times New Roman" w:hAnsi="Times New Roman" w:eastAsia="黑体"/>
          <w:sz w:val="56"/>
          <w:szCs w:val="32"/>
          <w:lang w:eastAsia="zh-CN"/>
        </w:rPr>
      </w:pPr>
    </w:p>
    <w:p w14:paraId="3D6FB412">
      <w:pPr>
        <w:jc w:val="center"/>
        <w:outlineLvl w:val="0"/>
        <w:rPr>
          <w:rFonts w:hint="eastAsia" w:ascii="Times New Roman" w:hAnsi="Times New Roman" w:eastAsia="黑体"/>
          <w:sz w:val="56"/>
          <w:szCs w:val="32"/>
          <w:lang w:eastAsia="zh-CN"/>
        </w:rPr>
      </w:pPr>
    </w:p>
    <w:p w14:paraId="7164D1BF">
      <w:pPr>
        <w:jc w:val="center"/>
        <w:outlineLvl w:val="0"/>
        <w:rPr>
          <w:rFonts w:hint="eastAsia" w:ascii="Times New Roman" w:hAnsi="Times New Roman" w:eastAsia="黑体"/>
          <w:sz w:val="56"/>
          <w:szCs w:val="32"/>
          <w:lang w:eastAsia="zh-CN"/>
        </w:rPr>
      </w:pPr>
    </w:p>
    <w:p w14:paraId="3FC51CCC">
      <w:pPr>
        <w:jc w:val="center"/>
        <w:outlineLvl w:val="0"/>
        <w:rPr>
          <w:rFonts w:hint="eastAsia" w:ascii="Times New Roman" w:hAnsi="Times New Roman" w:eastAsia="黑体"/>
          <w:sz w:val="56"/>
          <w:szCs w:val="32"/>
          <w:lang w:eastAsia="zh-CN"/>
        </w:rPr>
      </w:pPr>
    </w:p>
    <w:p w14:paraId="40ABB864">
      <w:pPr>
        <w:jc w:val="center"/>
        <w:outlineLvl w:val="0"/>
        <w:rPr>
          <w:rFonts w:hint="eastAsia" w:ascii="Times New Roman" w:hAnsi="Times New Roman" w:eastAsia="黑体"/>
          <w:sz w:val="56"/>
          <w:szCs w:val="32"/>
          <w:lang w:eastAsia="zh-CN"/>
        </w:rPr>
      </w:pPr>
    </w:p>
    <w:p w14:paraId="0D854350">
      <w:pPr>
        <w:jc w:val="center"/>
        <w:outlineLvl w:val="0"/>
        <w:rPr>
          <w:rFonts w:hint="eastAsia" w:ascii="Times New Roman" w:hAnsi="Times New Roman" w:eastAsia="黑体"/>
          <w:sz w:val="32"/>
          <w:szCs w:val="32"/>
          <w:lang w:eastAsia="zh-CN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12" w:charSpace="0"/>
        </w:sectPr>
      </w:pPr>
    </w:p>
    <w:p w14:paraId="1859DBD7">
      <w:pPr>
        <w:jc w:val="center"/>
        <w:outlineLvl w:val="0"/>
        <w:rPr>
          <w:rFonts w:hint="eastAsia" w:ascii="Times New Roman" w:hAnsi="Times New Roman" w:eastAsia="黑体"/>
          <w:sz w:val="56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猕猴桃人工辅助授粉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技术</w:t>
      </w:r>
      <w:r>
        <w:rPr>
          <w:rFonts w:hint="eastAsia" w:ascii="Times New Roman" w:hAnsi="Times New Roman" w:eastAsia="黑体"/>
          <w:sz w:val="32"/>
          <w:szCs w:val="32"/>
        </w:rPr>
        <w:t>规程</w:t>
      </w:r>
      <w:bookmarkEnd w:id="14"/>
      <w:r>
        <w:rPr>
          <w:rFonts w:hint="eastAsia" w:eastAsia="黑体"/>
          <w:sz w:val="32"/>
          <w:szCs w:val="32"/>
          <w:lang w:eastAsia="zh-CN"/>
        </w:rPr>
        <w:t>（</w:t>
      </w:r>
      <w:r>
        <w:rPr>
          <w:rFonts w:hint="eastAsia" w:eastAsia="黑体"/>
          <w:sz w:val="32"/>
          <w:szCs w:val="32"/>
          <w:lang w:val="en-US" w:eastAsia="zh-CN"/>
        </w:rPr>
        <w:t>草案</w:t>
      </w:r>
      <w:r>
        <w:rPr>
          <w:rFonts w:hint="eastAsia" w:eastAsia="黑体"/>
          <w:sz w:val="32"/>
          <w:szCs w:val="32"/>
          <w:lang w:eastAsia="zh-CN"/>
        </w:rPr>
        <w:t>）</w:t>
      </w:r>
    </w:p>
    <w:p w14:paraId="1FFDE410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</w:pPr>
      <w:bookmarkStart w:id="15" w:name="_Toc24670"/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>1 范围</w:t>
      </w:r>
      <w:bookmarkEnd w:id="15"/>
    </w:p>
    <w:p w14:paraId="2E2261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本</w:t>
      </w:r>
      <w:r>
        <w:rPr>
          <w:rFonts w:hint="eastAsia" w:ascii="宋体" w:hAnsi="宋体" w:cs="宋体"/>
          <w:sz w:val="21"/>
          <w:szCs w:val="21"/>
          <w:lang w:eastAsia="zh-CN"/>
        </w:rPr>
        <w:t>文件</w:t>
      </w:r>
      <w:r>
        <w:rPr>
          <w:rFonts w:hint="eastAsia" w:ascii="宋体" w:hAnsi="宋体" w:eastAsia="宋体" w:cs="宋体"/>
          <w:sz w:val="21"/>
          <w:szCs w:val="21"/>
        </w:rPr>
        <w:t>规定了</w:t>
      </w:r>
      <w:r>
        <w:rPr>
          <w:rFonts w:hint="eastAsia" w:ascii="宋体" w:hAnsi="宋体" w:cs="宋体"/>
          <w:sz w:val="21"/>
          <w:szCs w:val="21"/>
          <w:lang w:eastAsia="zh-CN"/>
        </w:rPr>
        <w:t>猕猴桃授粉前果园管理技术、雄株选择、花粉加工、花粉质量、花粉管理和授粉作业、用粉记录、座果率统计等技术要点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17530D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</w:t>
      </w:r>
      <w:r>
        <w:rPr>
          <w:rFonts w:hint="eastAsia" w:ascii="宋体" w:hAnsi="宋体" w:cs="宋体"/>
          <w:sz w:val="21"/>
          <w:szCs w:val="21"/>
          <w:lang w:eastAsia="zh-CN"/>
        </w:rPr>
        <w:t>文件</w:t>
      </w:r>
      <w:r>
        <w:rPr>
          <w:rFonts w:hint="eastAsia" w:ascii="宋体" w:hAnsi="宋体" w:eastAsia="宋体" w:cs="宋体"/>
          <w:sz w:val="21"/>
          <w:szCs w:val="21"/>
        </w:rPr>
        <w:t>适用于</w:t>
      </w:r>
      <w:r>
        <w:rPr>
          <w:rFonts w:hint="eastAsia" w:ascii="宋体" w:hAnsi="宋体" w:cs="宋体"/>
          <w:sz w:val="21"/>
          <w:szCs w:val="21"/>
          <w:lang w:eastAsia="zh-CN"/>
        </w:rPr>
        <w:t>陕西省徐香、瑞玉、翠香等品种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猕猴桃授粉技术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473031F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</w:pPr>
      <w:bookmarkStart w:id="16" w:name="_Toc25941"/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>2 规范性引用文件</w:t>
      </w:r>
      <w:bookmarkEnd w:id="16"/>
    </w:p>
    <w:p w14:paraId="2D3178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08A252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GB</w:t>
      </w:r>
      <w:r>
        <w:rPr>
          <w:rFonts w:hint="eastAsia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19174</w:t>
      </w:r>
      <w:r>
        <w:rPr>
          <w:rFonts w:hint="eastAsia" w:cs="Times New Roman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猕猴桃苗木</w:t>
      </w:r>
    </w:p>
    <w:p w14:paraId="1BAB7A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cs="Times New Roman"/>
          <w:sz w:val="21"/>
          <w:szCs w:val="21"/>
          <w:lang w:val="en-US" w:eastAsia="zh-CN"/>
        </w:rPr>
      </w:pPr>
      <w:r>
        <w:rPr>
          <w:rFonts w:hint="default" w:cs="Times New Roman"/>
          <w:sz w:val="21"/>
          <w:szCs w:val="21"/>
          <w:lang w:val="en-US" w:eastAsia="zh-CN"/>
        </w:rPr>
        <w:t xml:space="preserve">NY/T </w:t>
      </w:r>
      <w:r>
        <w:rPr>
          <w:rFonts w:hint="eastAsia" w:cs="Times New Roman"/>
          <w:sz w:val="21"/>
          <w:szCs w:val="21"/>
          <w:lang w:val="en-US" w:eastAsia="zh-CN"/>
        </w:rPr>
        <w:t>391</w:t>
      </w:r>
      <w:r>
        <w:rPr>
          <w:rFonts w:hint="default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cs="Times New Roman"/>
          <w:sz w:val="21"/>
          <w:szCs w:val="21"/>
          <w:lang w:val="en-US" w:eastAsia="zh-CN"/>
        </w:rPr>
        <w:t xml:space="preserve">          绿色食品    产地环境质量</w:t>
      </w:r>
    </w:p>
    <w:p w14:paraId="5B0152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cs="Times New Roman"/>
          <w:sz w:val="21"/>
          <w:szCs w:val="21"/>
          <w:lang w:val="en-US" w:eastAsia="zh-CN"/>
        </w:rPr>
      </w:pPr>
      <w:r>
        <w:rPr>
          <w:rFonts w:hint="default" w:cs="Times New Roman"/>
          <w:sz w:val="21"/>
          <w:szCs w:val="21"/>
          <w:lang w:val="en-US" w:eastAsia="zh-CN"/>
        </w:rPr>
        <w:t>NY</w:t>
      </w:r>
      <w:r>
        <w:rPr>
          <w:rFonts w:hint="eastAsia" w:cs="Times New Roman"/>
          <w:sz w:val="21"/>
          <w:szCs w:val="21"/>
          <w:lang w:val="en-US" w:eastAsia="zh-CN"/>
        </w:rPr>
        <w:t xml:space="preserve">  5013          无公害食品   林果类产品产地环境条件</w:t>
      </w:r>
    </w:p>
    <w:p w14:paraId="0E4AE1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Times New Roman" w:eastAsia="宋体"/>
          <w:sz w:val="21"/>
          <w:szCs w:val="21"/>
          <w:lang w:eastAsia="zh-CN"/>
        </w:rPr>
      </w:pPr>
      <w:r>
        <w:rPr>
          <w:rFonts w:hint="eastAsia" w:ascii="Times New Roman" w:eastAsia="宋体"/>
          <w:sz w:val="21"/>
          <w:szCs w:val="21"/>
          <w:lang w:eastAsia="zh-CN"/>
        </w:rPr>
        <w:t>GB</w:t>
      </w:r>
      <w:r>
        <w:rPr>
          <w:rFonts w:hint="eastAsia" w:ascii="Times New Roman" w:eastAsia="宋体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eastAsia="宋体"/>
          <w:sz w:val="21"/>
          <w:szCs w:val="21"/>
          <w:lang w:val="en-US" w:eastAsia="zh-CN"/>
        </w:rPr>
        <w:t>4285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eastAsia="宋体"/>
          <w:sz w:val="21"/>
          <w:szCs w:val="21"/>
          <w:lang w:eastAsia="zh-CN"/>
        </w:rPr>
        <w:t>农药安全使用标准</w:t>
      </w:r>
    </w:p>
    <w:p w14:paraId="1A6E6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cs="Times New Roman"/>
          <w:sz w:val="21"/>
          <w:szCs w:val="21"/>
          <w:lang w:val="en-US" w:eastAsia="zh-CN"/>
        </w:rPr>
      </w:pPr>
      <w:r>
        <w:rPr>
          <w:rFonts w:hint="eastAsia" w:ascii="Times New Roman" w:eastAsia="宋体"/>
          <w:sz w:val="21"/>
          <w:szCs w:val="21"/>
          <w:lang w:eastAsia="zh-CN"/>
        </w:rPr>
        <w:t>NY/T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eastAsia="宋体"/>
          <w:sz w:val="21"/>
          <w:szCs w:val="21"/>
          <w:lang w:val="en-US" w:eastAsia="zh-CN"/>
        </w:rPr>
        <w:t>394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rFonts w:hint="eastAsia" w:ascii="Times New Roman" w:eastAsia="宋体"/>
          <w:sz w:val="21"/>
          <w:szCs w:val="21"/>
          <w:lang w:eastAsia="zh-CN"/>
        </w:rPr>
        <w:t>绿色食品</w:t>
      </w:r>
      <w:r>
        <w:rPr>
          <w:rFonts w:hint="eastAsia" w:ascii="Times New Roman" w:eastAsia="宋体"/>
          <w:sz w:val="21"/>
          <w:szCs w:val="21"/>
          <w:lang w:val="en-US" w:eastAsia="zh-CN"/>
        </w:rPr>
        <w:t xml:space="preserve"> 废料使用准则</w:t>
      </w:r>
    </w:p>
    <w:p w14:paraId="28AB20FC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 xml:space="preserve">3 </w:t>
      </w: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>授粉前果园管理技</w:t>
      </w: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>术</w:t>
      </w:r>
    </w:p>
    <w:p w14:paraId="34E47E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主要包括：</w:t>
      </w:r>
      <w:r>
        <w:rPr>
          <w:rFonts w:hint="eastAsia" w:cs="Times New Roman"/>
          <w:sz w:val="21"/>
          <w:szCs w:val="21"/>
          <w:lang w:val="en-US" w:eastAsia="zh-CN"/>
        </w:rPr>
        <w:t>肥水管理、枝梢管理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、病虫</w:t>
      </w:r>
      <w:r>
        <w:rPr>
          <w:rFonts w:hint="eastAsia" w:cs="Times New Roman"/>
          <w:sz w:val="21"/>
          <w:szCs w:val="21"/>
          <w:lang w:val="en-US" w:eastAsia="zh-CN"/>
        </w:rPr>
        <w:t>防治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。</w:t>
      </w:r>
    </w:p>
    <w:p w14:paraId="7D470731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3.1 肥水管理</w:t>
      </w:r>
    </w:p>
    <w:p w14:paraId="4F5897E8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 xml:space="preserve">3.1.1 </w:t>
      </w:r>
    </w:p>
    <w:p w14:paraId="035DC1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cs="Times New Roman"/>
          <w:sz w:val="21"/>
          <w:szCs w:val="21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根外追肥</w:t>
      </w:r>
    </w:p>
    <w:p w14:paraId="6880CF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根外追肥以尿素或高氮型复合肥为主，</w:t>
      </w:r>
      <w:r>
        <w:rPr>
          <w:rFonts w:hint="eastAsia" w:cs="Times New Roman"/>
          <w:sz w:val="21"/>
          <w:szCs w:val="21"/>
          <w:lang w:val="en-US" w:eastAsia="zh-CN"/>
        </w:rPr>
        <w:t>同时配施中微量元素肥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。</w:t>
      </w:r>
    </w:p>
    <w:p w14:paraId="778F5453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 xml:space="preserve">3.1.2 </w:t>
      </w:r>
    </w:p>
    <w:p w14:paraId="792DED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叶面喷肥</w:t>
      </w:r>
    </w:p>
    <w:p w14:paraId="1DBADC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cs="Times New Roman"/>
          <w:sz w:val="21"/>
          <w:szCs w:val="21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重视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硼肥的施用</w:t>
      </w:r>
      <w:r>
        <w:rPr>
          <w:rFonts w:hint="eastAsia" w:cs="Times New Roman"/>
          <w:sz w:val="21"/>
          <w:szCs w:val="21"/>
          <w:lang w:val="en-US" w:eastAsia="zh-CN"/>
        </w:rPr>
        <w:t>，刺激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花粉萌发</w:t>
      </w:r>
      <w:r>
        <w:rPr>
          <w:rFonts w:hint="eastAsia" w:cs="Times New Roman"/>
          <w:sz w:val="21"/>
          <w:szCs w:val="21"/>
          <w:lang w:val="en-US" w:eastAsia="zh-CN"/>
        </w:rPr>
        <w:t>和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花粉管生</w:t>
      </w:r>
      <w:r>
        <w:rPr>
          <w:rFonts w:hint="eastAsia" w:cs="Times New Roman"/>
          <w:sz w:val="21"/>
          <w:szCs w:val="21"/>
          <w:lang w:val="en-US" w:eastAsia="zh-CN"/>
        </w:rPr>
        <w:t>长，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促进</w:t>
      </w:r>
      <w:r>
        <w:rPr>
          <w:rFonts w:hint="eastAsia" w:cs="Times New Roman"/>
          <w:sz w:val="21"/>
          <w:szCs w:val="21"/>
          <w:lang w:val="en-US" w:eastAsia="zh-CN"/>
        </w:rPr>
        <w:t>猕猴桃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生殖器官正常发育，有利于开花结</w:t>
      </w:r>
      <w:r>
        <w:rPr>
          <w:rFonts w:hint="eastAsia" w:cs="Times New Roman"/>
          <w:sz w:val="21"/>
          <w:szCs w:val="21"/>
          <w:lang w:val="en-US" w:eastAsia="zh-CN"/>
        </w:rPr>
        <w:t>果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。猕猴桃萌芽后到蕾期</w:t>
      </w:r>
      <w:r>
        <w:rPr>
          <w:rFonts w:hint="eastAsia" w:cs="Times New Roman"/>
          <w:sz w:val="21"/>
          <w:szCs w:val="21"/>
          <w:lang w:val="en-US" w:eastAsia="zh-CN"/>
        </w:rPr>
        <w:t>叶面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喷施</w:t>
      </w:r>
      <w:r>
        <w:rPr>
          <w:rFonts w:hint="eastAsia" w:cs="Times New Roman"/>
          <w:sz w:val="21"/>
          <w:szCs w:val="21"/>
          <w:lang w:val="en-US" w:eastAsia="zh-CN"/>
        </w:rPr>
        <w:t>硼肥或硼肥＋尿素2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次，每次间隔</w:t>
      </w:r>
      <w:r>
        <w:rPr>
          <w:rFonts w:hint="eastAsia" w:cs="Times New Roman"/>
          <w:sz w:val="21"/>
          <w:szCs w:val="21"/>
          <w:lang w:val="en-US" w:eastAsia="zh-CN"/>
        </w:rPr>
        <w:t>10 d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～</w:t>
      </w:r>
      <w:r>
        <w:rPr>
          <w:rFonts w:hint="eastAsia" w:cs="Times New Roman"/>
          <w:sz w:val="21"/>
          <w:szCs w:val="21"/>
          <w:lang w:val="en-US" w:eastAsia="zh-CN"/>
        </w:rPr>
        <w:t>15 d，叶面喷施硼肥时可加入免疫诱抗剂，如5%氨基寡糖素，增强职务抗逆性能，促进授粉座果率，预防“倒春寒”等，避免添加尿素，以防发生肥害。</w:t>
      </w:r>
    </w:p>
    <w:p w14:paraId="2F175C3C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 xml:space="preserve">3.2  </w:t>
      </w:r>
    </w:p>
    <w:p w14:paraId="400426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cs="Times New Roman"/>
          <w:sz w:val="21"/>
          <w:szCs w:val="21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枝梢管理</w:t>
      </w:r>
    </w:p>
    <w:p w14:paraId="73F4B6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cs="Times New Roman"/>
          <w:sz w:val="21"/>
          <w:szCs w:val="21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花前主要做好抹芽、摘心、疏蕾等工作。一般在芽体质量明确后，即芽长3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～</w:t>
      </w:r>
      <w:r>
        <w:rPr>
          <w:rFonts w:hint="eastAsia" w:cs="Times New Roman"/>
          <w:sz w:val="21"/>
          <w:szCs w:val="21"/>
          <w:lang w:val="en-US" w:eastAsia="zh-CN"/>
        </w:rPr>
        <w:t>5 cm时抹芽。早春对直立、迎风且长度为15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～</w:t>
      </w:r>
      <w:r>
        <w:rPr>
          <w:rFonts w:hint="eastAsia" w:cs="Times New Roman"/>
          <w:sz w:val="21"/>
          <w:szCs w:val="21"/>
          <w:lang w:val="en-US" w:eastAsia="zh-CN"/>
        </w:rPr>
        <w:t>20 cm的枝条进行摘心。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疏除发育不良的花蕾。耳花分离时必须疏除花蕾。一般疏除上下位的和不便于操作的花蕾</w:t>
      </w:r>
      <w:r>
        <w:rPr>
          <w:rFonts w:hint="eastAsia" w:cs="Times New Roman"/>
          <w:sz w:val="21"/>
          <w:szCs w:val="21"/>
          <w:lang w:val="en-US" w:eastAsia="zh-CN"/>
        </w:rPr>
        <w:t>和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畸形花蕾。</w:t>
      </w:r>
      <w:r>
        <w:rPr>
          <w:rFonts w:hint="eastAsia" w:cs="Times New Roman"/>
          <w:sz w:val="21"/>
          <w:szCs w:val="21"/>
          <w:lang w:val="en-US" w:eastAsia="zh-CN"/>
        </w:rPr>
        <w:t>盛果期果园，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一般长果</w:t>
      </w:r>
      <w:r>
        <w:rPr>
          <w:rFonts w:hint="eastAsia" w:cs="Times New Roman"/>
          <w:sz w:val="21"/>
          <w:szCs w:val="21"/>
          <w:lang w:val="en-US" w:eastAsia="zh-CN"/>
        </w:rPr>
        <w:t>枝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留</w:t>
      </w:r>
      <w:r>
        <w:rPr>
          <w:rFonts w:hint="eastAsia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～</w:t>
      </w:r>
      <w:r>
        <w:rPr>
          <w:rFonts w:hint="eastAsia" w:cs="Times New Roman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个花蕾，疏除结果</w:t>
      </w:r>
      <w:r>
        <w:rPr>
          <w:rFonts w:hint="eastAsia" w:cs="Times New Roman"/>
          <w:sz w:val="21"/>
          <w:szCs w:val="21"/>
          <w:lang w:val="en-US" w:eastAsia="zh-CN"/>
        </w:rPr>
        <w:t>枝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上</w:t>
      </w:r>
      <w:r>
        <w:rPr>
          <w:rFonts w:hint="eastAsia" w:cs="Times New Roman"/>
          <w:sz w:val="21"/>
          <w:szCs w:val="21"/>
          <w:lang w:val="en-US" w:eastAsia="zh-CN"/>
        </w:rPr>
        <w:t>侧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的花蕾，留中间花蕾。中果</w:t>
      </w:r>
      <w:r>
        <w:rPr>
          <w:rFonts w:hint="eastAsia" w:cs="Times New Roman"/>
          <w:sz w:val="21"/>
          <w:szCs w:val="21"/>
          <w:lang w:val="en-US" w:eastAsia="zh-CN"/>
        </w:rPr>
        <w:t>枝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留</w:t>
      </w:r>
      <w:r>
        <w:rPr>
          <w:rFonts w:hint="eastAsia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～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个花蕾、短果</w:t>
      </w:r>
      <w:r>
        <w:rPr>
          <w:rFonts w:hint="eastAsia" w:cs="Times New Roman"/>
          <w:sz w:val="21"/>
          <w:szCs w:val="21"/>
          <w:lang w:val="en-US" w:eastAsia="zh-CN"/>
        </w:rPr>
        <w:t>枝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留</w:t>
      </w:r>
      <w:r>
        <w:rPr>
          <w:rFonts w:hint="eastAsia" w:cs="Times New Roman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个花蕾。</w:t>
      </w:r>
    </w:p>
    <w:p w14:paraId="338AAC96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3.3</w:t>
      </w:r>
    </w:p>
    <w:p w14:paraId="0F7393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病虫害防治</w:t>
      </w:r>
    </w:p>
    <w:p w14:paraId="54729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主要防治</w:t>
      </w:r>
      <w:r>
        <w:rPr>
          <w:rFonts w:hint="eastAsia" w:cs="Times New Roman"/>
          <w:sz w:val="21"/>
          <w:szCs w:val="21"/>
          <w:lang w:val="en-US" w:eastAsia="zh-CN"/>
        </w:rPr>
        <w:t>对象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：花腐病、溃疡病</w:t>
      </w:r>
      <w:r>
        <w:rPr>
          <w:rFonts w:hint="eastAsia" w:cs="Times New Roman"/>
          <w:sz w:val="21"/>
          <w:szCs w:val="21"/>
          <w:lang w:val="en-US" w:eastAsia="zh-CN"/>
        </w:rPr>
        <w:t>、金龟甲、绿盲蝽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等。</w:t>
      </w:r>
    </w:p>
    <w:p w14:paraId="37D41E5B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.1</w:t>
      </w:r>
    </w:p>
    <w:p w14:paraId="191E2A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农业防治 </w:t>
      </w:r>
    </w:p>
    <w:p w14:paraId="5E3F77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加强园地肥水</w:t>
      </w:r>
      <w:r>
        <w:rPr>
          <w:rFonts w:hint="eastAsia" w:cs="Times New Roman"/>
          <w:sz w:val="21"/>
          <w:szCs w:val="21"/>
          <w:lang w:val="en-US" w:eastAsia="zh-CN"/>
        </w:rPr>
        <w:t>管理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，</w:t>
      </w:r>
      <w:r>
        <w:rPr>
          <w:rFonts w:hint="eastAsia" w:cs="Times New Roman"/>
          <w:sz w:val="21"/>
          <w:szCs w:val="21"/>
          <w:lang w:val="en-US" w:eastAsia="zh-CN"/>
        </w:rPr>
        <w:t>枝梢管理，增强果园通风透光，营造良好的环境，提高树体抗性。</w:t>
      </w:r>
    </w:p>
    <w:p w14:paraId="7BEA88CD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2</w:t>
      </w:r>
    </w:p>
    <w:p w14:paraId="766BD1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化学防治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</w:p>
    <w:p w14:paraId="1F11E5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预防花腐病，从萌芽到开花前，可选用中生菌素或春雷霉素等生物制剂每隔10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～</w:t>
      </w:r>
      <w:r>
        <w:rPr>
          <w:rFonts w:hint="eastAsia" w:cs="Times New Roman"/>
          <w:sz w:val="21"/>
          <w:szCs w:val="21"/>
          <w:lang w:val="en-US" w:eastAsia="zh-CN"/>
        </w:rPr>
        <w:t>15 d全园喷雾一次。防治金龟甲、绿盲蝽等，可选用氯氟氰·吡虫啉或噻虫嗪·高氯进行喷雾。</w:t>
      </w:r>
    </w:p>
    <w:p w14:paraId="0B353DCC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both"/>
        <w:textAlignment w:val="auto"/>
        <w:outlineLvl w:val="0"/>
        <w:rPr>
          <w:rFonts w:hint="default" w:hAnsi="黑体" w:cs="黑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>4 雄株选择</w:t>
      </w:r>
    </w:p>
    <w:p w14:paraId="2AC949C1">
      <w:pPr>
        <w:bidi w:val="0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 xml:space="preserve">4.1 </w:t>
      </w:r>
      <w:r>
        <w:rPr>
          <w:rFonts w:hint="eastAsia"/>
          <w:lang w:val="en-US" w:eastAsia="zh-CN"/>
        </w:rPr>
        <w:t>宜选择抗性强、与雌株品种亲和力强、粉量大、花粉萌芽率高的猕猴桃雄性品种。</w:t>
      </w:r>
    </w:p>
    <w:p w14:paraId="48CE83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 xml:space="preserve">4.2 </w:t>
      </w:r>
      <w:r>
        <w:rPr>
          <w:rFonts w:hint="eastAsia"/>
          <w:lang w:val="en-US" w:eastAsia="zh-CN"/>
        </w:rPr>
        <w:t>选择树体生长健康、长势好、花芽分化质量好、无病虫害的雄株进行花粉采集；感染花腐病的雄树不能采集。</w:t>
      </w:r>
    </w:p>
    <w:p w14:paraId="2CD85702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>5</w:t>
      </w: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 xml:space="preserve"> 花粉</w:t>
      </w: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>采集与</w:t>
      </w: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>加工</w:t>
      </w:r>
    </w:p>
    <w:p w14:paraId="0EA4CF87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5.1</w:t>
      </w:r>
    </w:p>
    <w:p w14:paraId="4141238D">
      <w:pPr>
        <w:bidi w:val="0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采集花蕾的树体要求</w:t>
      </w:r>
    </w:p>
    <w:p w14:paraId="55F16190">
      <w:pPr>
        <w:bidi w:val="0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在授粉前2~3d，选择树体生长健壮、无病虫危害的雄株，采集花芽分化质量好、无病虫害的雄花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 w14:paraId="4DA775FB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.2</w:t>
      </w:r>
    </w:p>
    <w:p w14:paraId="48D3509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采集时间与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存放</w:t>
      </w:r>
    </w:p>
    <w:p w14:paraId="1902E67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采集时间应在天气晴朗的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上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午5时～</w:t>
      </w:r>
      <w:r>
        <w:rPr>
          <w:rFonts w:hint="default" w:cs="Times New Roman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或1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～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时，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尽量避免雨天采集。采摘含苞待放或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刚开放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而花药未开裂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的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雄花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花蕾（俗称“铃铛花”）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。采摘后不要堆放，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将其摊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放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在阴凉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干燥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处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保存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 w14:paraId="7424D40D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3</w:t>
      </w:r>
    </w:p>
    <w:p w14:paraId="25114D1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花药分离</w:t>
      </w:r>
    </w:p>
    <w:p w14:paraId="5F4EC1B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取花药应在室内进行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。一是可将采下的雄花花药用刷子、剪刀等器具从花上脱离下来；二是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可将花蕾倒入细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铁丝筛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网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中，用手轻轻揉搓，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分离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花药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三是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数量大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可用电动花药分离机剥取花药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，转速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应小于500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r/min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花药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分离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后用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目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以上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的筛子过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筛，去除花丝、花瓣等杂质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，分离出纯花粉，在容器中充分混合。（增加现代工厂花粉制取技术）</w:t>
      </w:r>
    </w:p>
    <w:p w14:paraId="2B819AC3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.4</w:t>
      </w:r>
    </w:p>
    <w:p w14:paraId="23794FF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药干燥</w:t>
      </w:r>
    </w:p>
    <w:p w14:paraId="79B7719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.4.1</w:t>
      </w:r>
    </w:p>
    <w:p w14:paraId="0E9176E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烘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箱干燥法</w:t>
      </w:r>
    </w:p>
    <w:p w14:paraId="57D7A05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将花药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平摊在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托盘中，恒温箱温度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设定在25℃～28℃之间，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干燥1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h～18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h，使花粉释放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出来。</w:t>
      </w:r>
    </w:p>
    <w:p w14:paraId="7FD9D2CC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.4.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2</w:t>
      </w:r>
    </w:p>
    <w:p w14:paraId="1564409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灯照干燥法</w:t>
      </w:r>
    </w:p>
    <w:p w14:paraId="72EEE94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将花药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平摊在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纸上，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摊放厚度不超过1cm，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在上方约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100</w:t>
      </w:r>
      <w:r>
        <w:rPr>
          <w:rFonts w:hint="default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m处悬挂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100W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白炽灯进行照射，在26℃左右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干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燥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约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24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h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，待花药开裂取出花粉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。</w:t>
      </w:r>
    </w:p>
    <w:p w14:paraId="197854FA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.4.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3</w:t>
      </w:r>
    </w:p>
    <w:p w14:paraId="5A79E09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电热毯干燥法</w:t>
      </w:r>
    </w:p>
    <w:p w14:paraId="0D1064A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若遇阴雨天导致温度低、干燥慢，可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将花药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平摊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在纸上，再放置在电热毯上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进行烘干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在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26℃～28℃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条件下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干燥18</w:t>
      </w:r>
      <w:r>
        <w:rPr>
          <w:rFonts w:hint="default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h～20</w:t>
      </w:r>
      <w:r>
        <w:rPr>
          <w:rFonts w:hint="default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h。</w:t>
      </w:r>
    </w:p>
    <w:p w14:paraId="6C465EB6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.4.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4</w:t>
      </w:r>
    </w:p>
    <w:p w14:paraId="6A805B7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阴干法</w:t>
      </w:r>
    </w:p>
    <w:p w14:paraId="55F1508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把花药平铺在纸上，在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阴凉干燥处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自然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晾晒20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h～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24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h，温度保持在2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℃～2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℃之间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，使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花药自然开裂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后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释放花粉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。严禁在阳光下暴晒脱粉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。</w:t>
      </w:r>
    </w:p>
    <w:p w14:paraId="6FB9E410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 xml:space="preserve">5 </w:t>
      </w:r>
    </w:p>
    <w:p w14:paraId="7ADCC49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花粉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收集</w:t>
      </w:r>
    </w:p>
    <w:p w14:paraId="359292F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花药干燥后相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对含水量达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10%～15% 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时，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用手指撵磨成粉时方可提取花粉。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用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100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目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以上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筛子筛出纯花粉，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过筛时将装有干燥花药的筛子放置于塑料袋内，封口后轻轻摇动，避免花粉飞散，过筛后收集花粉备用。操作过程中花粉不宜与铁器接触。</w:t>
      </w:r>
    </w:p>
    <w:p w14:paraId="05EA89C1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 xml:space="preserve">6 </w:t>
      </w: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>花粉质量</w:t>
      </w:r>
    </w:p>
    <w:p w14:paraId="5FC8B043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.1</w:t>
      </w:r>
    </w:p>
    <w:p w14:paraId="3DA74D5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花粉外观</w:t>
      </w:r>
    </w:p>
    <w:p w14:paraId="4ED04E1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猕猴桃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花粉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应为浅黄色粉末，色泽均匀一致，无杂质，流动性好，倾倒时易散开，手感光滑细腻，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花粉含水量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10%～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15%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。</w:t>
      </w:r>
    </w:p>
    <w:p w14:paraId="624C579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2</w:t>
      </w:r>
    </w:p>
    <w:p w14:paraId="5991C928"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花粉等级</w:t>
      </w:r>
    </w:p>
    <w:p w14:paraId="1627C5A3"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猕猴桃花粉按净度、萌发率分为一级、二级、三级。</w:t>
      </w:r>
    </w:p>
    <w:p w14:paraId="479107B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cs="Times New Roman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一级花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：净度≥90%，萌发率≥75%</w:t>
      </w:r>
      <w:r>
        <w:rPr>
          <w:rFonts w:hint="eastAsia" w:cs="Times New Roman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；</w:t>
      </w:r>
    </w:p>
    <w:p w14:paraId="736EAEA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cs="Times New Roman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二级花粉：80%≤净度＜90%，60%≤萌发率＜75%</w:t>
      </w:r>
      <w:r>
        <w:rPr>
          <w:rFonts w:hint="eastAsia" w:cs="Times New Roman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；</w:t>
      </w:r>
    </w:p>
    <w:p w14:paraId="6CA8BA0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三级花粉：70%≤净度＜80%，30%≤萌发率＜60%。</w:t>
      </w:r>
    </w:p>
    <w:p w14:paraId="220AB01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 w14:paraId="49484D28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3</w:t>
      </w:r>
    </w:p>
    <w:p w14:paraId="4C9E541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花粉含水量检测</w:t>
      </w:r>
    </w:p>
    <w:p w14:paraId="059A88D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取5 g花粉，放入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℃～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105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℃</w:t>
      </w:r>
      <w:r>
        <w:rPr>
          <w:rFonts w:hint="eastAsia"/>
          <w:lang w:val="en-US" w:eastAsia="zh-CN"/>
        </w:rPr>
        <w:t>烘干箱内烘到恒重后称其重量，计算含水量。</w:t>
      </w:r>
    </w:p>
    <w:p w14:paraId="0D4B1E1D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4</w:t>
      </w:r>
    </w:p>
    <w:p w14:paraId="0789845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发芽率的测定</w:t>
      </w:r>
    </w:p>
    <w:p w14:paraId="4AE294D1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4.1</w:t>
      </w:r>
    </w:p>
    <w:p w14:paraId="5AF7D5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培养基配制</w:t>
      </w:r>
    </w:p>
    <w:p w14:paraId="0CFD0F9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用琼脂5 g、蔗糖5 g、加水50 mL，再加入硼酸，使硼酸含量为10 ppm，加热溶解，溶解后将溶液涂于培养皿或载玻片上。</w:t>
      </w:r>
    </w:p>
    <w:p w14:paraId="65F40D27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4.2</w:t>
      </w:r>
    </w:p>
    <w:p w14:paraId="4B6EDCD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花粉的培养</w:t>
      </w:r>
    </w:p>
    <w:p w14:paraId="5F8E290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取少许花粉轻轻涂在冷却的培养基上，再将培养器置于恒温培养箱内，恒温温度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23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℃～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℃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lang w:val="en-US" w:eastAsia="zh-CN"/>
        </w:rPr>
        <w:t>培养时间为4 h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～</w:t>
      </w:r>
      <w:r>
        <w:rPr>
          <w:rFonts w:hint="eastAsia"/>
          <w:lang w:val="en-US" w:eastAsia="zh-CN"/>
        </w:rPr>
        <w:t>6 h。</w:t>
      </w:r>
    </w:p>
    <w:p w14:paraId="2BC9D0F0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6.4.3</w:t>
      </w:r>
    </w:p>
    <w:p w14:paraId="5DFAE4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花粉萌发率检测</w:t>
      </w:r>
    </w:p>
    <w:p w14:paraId="1928C64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用显微镜观察花粉萌芽情况，观察载玻片3个以上，每个载玻片至少有6个视野以上计数，分别记录每个视野的萌发花粉数和花粉总粒数，以平均值计算花粉发芽率。</w:t>
      </w:r>
    </w:p>
    <w:p w14:paraId="7606BE16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>7</w:t>
      </w: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 xml:space="preserve"> 花粉</w:t>
      </w: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>管理</w:t>
      </w:r>
    </w:p>
    <w:p w14:paraId="7477CE82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.1</w:t>
      </w:r>
    </w:p>
    <w:p w14:paraId="7DE0566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花粉包装</w:t>
      </w:r>
    </w:p>
    <w:p w14:paraId="55CE6EB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制好的花粉应在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h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内用塑料自封袋包好，每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包10</w:t>
      </w:r>
      <w:r>
        <w:rPr>
          <w:rFonts w:hint="default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g或20</w:t>
      </w:r>
      <w:r>
        <w:rPr>
          <w:rFonts w:hint="default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g，放入大的塑料自封袋密封，袋内放入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硅胶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干燥剂。也可以用干净塑料瓶或棕色玻璃瓶盛放，并密封。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禁止使用金属容器。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包装袋或瓶上加贴标签、标识，注明品种、数量、采集时间等信息。</w:t>
      </w:r>
    </w:p>
    <w:p w14:paraId="1C3E9A3C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.2</w:t>
      </w:r>
    </w:p>
    <w:p w14:paraId="235C39A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花粉贮藏</w:t>
      </w:r>
    </w:p>
    <w:p w14:paraId="508228F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花粉包装后，立即进行贮藏。贮藏花粉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的环境应清洁、卫生，不得与有腐蚀性和有污染性的物品混贮，须避光。10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d以内的短期贮藏，温度控制在2℃～5℃，超过10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的长期贮藏，温度控制在-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℃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以下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，湿度控制在20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%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以下。长期贮藏的花粉取出后先进行10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h～12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h解冻吸湿，并在24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h内用完。</w:t>
      </w:r>
    </w:p>
    <w:p w14:paraId="39C0F748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 xml:space="preserve">.3 </w:t>
      </w:r>
    </w:p>
    <w:p w14:paraId="0DF4AAE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花粉运输</w:t>
      </w:r>
    </w:p>
    <w:p w14:paraId="4495EC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运输工具应清洁干燥。运输过程中不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得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有雨淋、受潮、暴晒，不得与有腐蚀性和有污染性的物品混运，运输过程中花粉袋周围温度应低于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5℃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湿度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＜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20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%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 w14:paraId="6192B410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both"/>
        <w:textAlignment w:val="auto"/>
        <w:outlineLvl w:val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>8</w:t>
      </w: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 xml:space="preserve"> 授粉作业</w:t>
      </w:r>
    </w:p>
    <w:p w14:paraId="207454E7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.1 授粉时间</w:t>
      </w:r>
    </w:p>
    <w:p w14:paraId="7F7A592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授粉时间为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被授粉树盛花初期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应在雌花开放后2～3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d天内完成授粉。在晴天上午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～1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时授粉效果最好，阴天可全天授粉。露地栽培果园雨天、大风天不宜进行。</w:t>
      </w:r>
    </w:p>
    <w:p w14:paraId="28AC7C7D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8.2 授粉方法</w:t>
      </w:r>
    </w:p>
    <w:p w14:paraId="29D2BB2C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 xml:space="preserve">.2.1 </w:t>
      </w:r>
    </w:p>
    <w:p w14:paraId="7BE88E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对花授粉</w:t>
      </w:r>
    </w:p>
    <w:p w14:paraId="31E5BDD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黑体" w:hAnsi="黑体" w:eastAsia="宋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晴天上午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10：00</w:t>
      </w:r>
      <w:r>
        <w:rPr>
          <w:rFonts w:hint="eastAsia" w:cs="Times New Roman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前</w:t>
      </w:r>
      <w:r>
        <w:rPr>
          <w:rFonts w:ascii="Arial" w:hAnsi="Arial" w:eastAsia="宋体" w:cs="Arial"/>
          <w:i w:val="0"/>
          <w:iCs w:val="0"/>
          <w:caps w:val="0"/>
          <w:spacing w:val="0"/>
          <w:sz w:val="21"/>
          <w:szCs w:val="21"/>
          <w:shd w:val="clear" w:fill="FFFFFF"/>
        </w:rPr>
        <w:t>采集刚开放的雄花，用雄花直接对着刚开放的雌花，用雄花的雄蕊轻轻在雌花柱头上涂抹，每朵雄花可授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7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～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1"/>
          <w:szCs w:val="21"/>
          <w:shd w:val="clear" w:fill="FFFFFF"/>
        </w:rPr>
        <w:t>8</w:t>
      </w:r>
      <w:r>
        <w:rPr>
          <w:rFonts w:ascii="Arial" w:hAnsi="Arial" w:eastAsia="宋体" w:cs="Arial"/>
          <w:i w:val="0"/>
          <w:iCs w:val="0"/>
          <w:caps w:val="0"/>
          <w:spacing w:val="0"/>
          <w:sz w:val="21"/>
          <w:szCs w:val="21"/>
          <w:shd w:val="clear" w:fill="FFFFFF"/>
        </w:rPr>
        <w:t>朵雌花。对花授</w:t>
      </w:r>
      <w:r>
        <w:rPr>
          <w:rFonts w:hint="eastAsia" w:ascii="Arial" w:hAnsi="Arial" w:cs="Arial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粉</w:t>
      </w:r>
      <w:r>
        <w:rPr>
          <w:rFonts w:ascii="Arial" w:hAnsi="Arial" w:eastAsia="宋体" w:cs="Arial"/>
          <w:i w:val="0"/>
          <w:iCs w:val="0"/>
          <w:caps w:val="0"/>
          <w:spacing w:val="0"/>
          <w:sz w:val="21"/>
          <w:szCs w:val="21"/>
          <w:shd w:val="clear" w:fill="FFFFFF"/>
        </w:rPr>
        <w:t>速度慢、</w:t>
      </w:r>
      <w:r>
        <w:rPr>
          <w:rFonts w:hint="eastAsia" w:ascii="Arial" w:hAnsi="Arial" w:cs="Arial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效率低</w:t>
      </w:r>
      <w:r>
        <w:rPr>
          <w:rFonts w:ascii="Arial" w:hAnsi="Arial" w:eastAsia="宋体" w:cs="Arial"/>
          <w:i w:val="0"/>
          <w:iCs w:val="0"/>
          <w:caps w:val="0"/>
          <w:spacing w:val="0"/>
          <w:sz w:val="21"/>
          <w:szCs w:val="21"/>
          <w:shd w:val="clear" w:fill="FFFFFF"/>
        </w:rPr>
        <w:t>低，适宜小面积进行</w:t>
      </w:r>
      <w:r>
        <w:rPr>
          <w:rFonts w:hint="eastAsia" w:ascii="Arial" w:hAnsi="Arial" w:cs="Arial"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。</w:t>
      </w:r>
    </w:p>
    <w:p w14:paraId="15D18B04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8.2.</w:t>
      </w: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2</w:t>
      </w:r>
    </w:p>
    <w:p w14:paraId="04AE3BD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蘸粉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点授</w:t>
      </w:r>
    </w:p>
    <w:p w14:paraId="192EEC4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花粉用滑石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粉或石松子粉作为辅料，稀释2倍～3倍，用毛笔或自制授粉笔轻沾花粉后，对准雌花花丝柱头上轻轻对接点授即可，每沾一次花粉，可以点授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朵花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左右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。也可以用10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注射针管，去掉针管头，装入花粉点授。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蘸粉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点授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速度慢、效率低。</w:t>
      </w:r>
    </w:p>
    <w:p w14:paraId="1E3E5B6F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.2.2</w:t>
      </w:r>
    </w:p>
    <w:p w14:paraId="13FC6F2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喷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雾授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粉</w:t>
      </w:r>
    </w:p>
    <w:p w14:paraId="4AEB22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在花粉中按1：（5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～8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）比例加入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滑石粉或石松子粉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混合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，为了便于识别可加入少量食用胭脂红，制成花粉混合物。用电动授粉器或简易喷粉器将花粉喷在雌花的柱头上。要求当天混合的花粉当天喷完。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喷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雾授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粉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速度快、效率高。</w:t>
      </w:r>
    </w:p>
    <w:p w14:paraId="7C13C1A6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.2.3</w:t>
      </w:r>
    </w:p>
    <w:p w14:paraId="1053777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液体授粉</w:t>
      </w:r>
    </w:p>
    <w:p w14:paraId="3E6B1D0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按纯花粉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0.1%、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白糖10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%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，硼砂0.01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%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的比例制成悬浮液。悬浮液中可加入0.02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%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的羧甲基纤维素钠，同时可加入少量食用胭脂红。用小型喷雾装置将花粉喷在雌花的柱头上，喷口要与雌花保持一定距离，且不能在一处停留过长时间，避免喷出的液体凝聚成水滴落下，从而影响授粉效果。悬浮液要随配随用，最好在2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内用完。若授粉完成之后遇到下雨天气，需再一次补充喷授。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液体授粉速度快、效率高。</w:t>
      </w:r>
    </w:p>
    <w:p w14:paraId="25A3B492">
      <w:pPr>
        <w:pStyle w:val="2"/>
        <w:keepNext/>
        <w:keepLines/>
        <w:pageBreakBefore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uto"/>
        <w:ind w:right="0" w:firstLineChars="200"/>
        <w:jc w:val="both"/>
        <w:textAlignment w:val="auto"/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hAnsi="黑体" w:cs="黑体"/>
          <w:b w:val="0"/>
          <w:bCs w:val="0"/>
          <w:sz w:val="21"/>
          <w:szCs w:val="21"/>
          <w:lang w:val="en-US" w:eastAsia="zh-CN"/>
        </w:rPr>
        <w:t xml:space="preserve">8.3 </w:t>
      </w:r>
    </w:p>
    <w:p w14:paraId="533BB5F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授粉频次</w:t>
      </w:r>
    </w:p>
    <w:p w14:paraId="3451E2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shd w:val="clear" w:fill="auto"/>
        </w:rPr>
        <w:t>在猕猴桃</w:t>
      </w:r>
      <w:r>
        <w:rPr>
          <w:rFonts w:hint="default" w:cs="Times New Roman"/>
          <w:i w:val="0"/>
          <w:iCs w:val="0"/>
          <w:caps w:val="0"/>
          <w:spacing w:val="0"/>
          <w:sz w:val="21"/>
          <w:szCs w:val="21"/>
          <w:shd w:val="clear"/>
          <w:lang w:eastAsia="zh-CN"/>
        </w:rPr>
        <w:t>果园雌花开放数量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shd w:val="clear" w:fill="auto"/>
        </w:rPr>
        <w:t>约60</w:t>
      </w:r>
      <w:r>
        <w:rPr>
          <w:rFonts w:hint="default" w:cs="Times New Roman"/>
          <w:i w:val="0"/>
          <w:iCs w:val="0"/>
          <w:caps w:val="0"/>
          <w:spacing w:val="0"/>
          <w:sz w:val="21"/>
          <w:szCs w:val="21"/>
          <w:shd w:val="clear"/>
          <w:lang w:val="en-US" w:eastAsia="zh-CN"/>
        </w:rPr>
        <w:t>%</w:t>
      </w:r>
      <w:r>
        <w:rPr>
          <w:rFonts w:hint="default" w:cs="Times New Roman"/>
          <w:i w:val="0"/>
          <w:iCs w:val="0"/>
          <w:caps w:val="0"/>
          <w:spacing w:val="0"/>
          <w:sz w:val="21"/>
          <w:szCs w:val="21"/>
          <w:shd w:val="clear"/>
          <w:lang w:eastAsia="zh-CN"/>
        </w:rPr>
        <w:t>~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shd w:val="clear" w:fill="auto"/>
        </w:rPr>
        <w:t>70%，露水被完全吸收后进行</w:t>
      </w:r>
      <w:r>
        <w:rPr>
          <w:rFonts w:hint="default" w:cs="Times New Roman"/>
          <w:i w:val="0"/>
          <w:iCs w:val="0"/>
          <w:caps w:val="0"/>
          <w:spacing w:val="0"/>
          <w:sz w:val="21"/>
          <w:szCs w:val="21"/>
          <w:shd w:val="clear"/>
          <w:lang w:eastAsia="zh-CN"/>
        </w:rPr>
        <w:t>授粉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shd w:val="clear" w:fill="auto"/>
        </w:rPr>
        <w:t>，每隔</w:t>
      </w:r>
      <w:r>
        <w:rPr>
          <w:rFonts w:hint="eastAsia" w:cs="Times New Roman"/>
          <w:i w:val="0"/>
          <w:iCs w:val="0"/>
          <w:caps w:val="0"/>
          <w:spacing w:val="0"/>
          <w:sz w:val="21"/>
          <w:szCs w:val="21"/>
          <w:shd w:val="clear"/>
          <w:lang w:eastAsia="zh-CN"/>
        </w:rPr>
        <w:t>1</w:t>
      </w:r>
      <w:r>
        <w:rPr>
          <w:rFonts w:hint="eastAsia" w:cs="Times New Roman"/>
          <w:i w:val="0"/>
          <w:iCs w:val="0"/>
          <w:caps w:val="0"/>
          <w:spacing w:val="0"/>
          <w:sz w:val="21"/>
          <w:szCs w:val="21"/>
          <w:shd w:val="clear"/>
          <w:lang w:val="en-US" w:eastAsia="zh-CN"/>
        </w:rPr>
        <w:t>~2 d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shd w:val="clear" w:fill="auto"/>
        </w:rPr>
        <w:t>授粉</w:t>
      </w:r>
      <w:r>
        <w:rPr>
          <w:rFonts w:hint="eastAsia" w:cs="Times New Roman"/>
          <w:i w:val="0"/>
          <w:iCs w:val="0"/>
          <w:caps w:val="0"/>
          <w:spacing w:val="0"/>
          <w:sz w:val="21"/>
          <w:szCs w:val="21"/>
          <w:shd w:val="clear"/>
          <w:lang w:eastAsia="zh-CN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shd w:val="clear" w:fill="auto"/>
        </w:rPr>
        <w:t>次</w:t>
      </w:r>
      <w:r>
        <w:rPr>
          <w:rFonts w:hint="eastAsia" w:cs="Times New Roman"/>
          <w:i w:val="0"/>
          <w:iCs w:val="0"/>
          <w:caps w:val="0"/>
          <w:spacing w:val="0"/>
          <w:sz w:val="21"/>
          <w:szCs w:val="21"/>
          <w:shd w:val="clear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shd w:val="clear" w:fill="auto"/>
        </w:rPr>
        <w:t>共授粉2</w:t>
      </w:r>
      <w:r>
        <w:rPr>
          <w:rFonts w:hint="eastAsia" w:cs="Times New Roman"/>
          <w:i w:val="0"/>
          <w:iCs w:val="0"/>
          <w:caps w:val="0"/>
          <w:spacing w:val="0"/>
          <w:sz w:val="21"/>
          <w:szCs w:val="21"/>
          <w:shd w:val="clear"/>
          <w:lang w:eastAsia="zh-CN"/>
        </w:rPr>
        <w:t>~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shd w:val="clear" w:fill="auto"/>
        </w:rPr>
        <w:t>3次。</w:t>
      </w:r>
    </w:p>
    <w:p w14:paraId="29304D73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>9</w:t>
      </w: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 xml:space="preserve"> 用粉记录</w:t>
      </w:r>
    </w:p>
    <w:p w14:paraId="681B0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花粉的来源、授粉品种、使用时间、使用量、使用面积等关键信息要做好记录。</w:t>
      </w:r>
    </w:p>
    <w:p w14:paraId="1A47953B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60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>10</w:t>
      </w: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hAnsi="黑体" w:cs="黑体"/>
          <w:b w:val="0"/>
          <w:bCs/>
          <w:kern w:val="2"/>
          <w:sz w:val="21"/>
          <w:szCs w:val="21"/>
          <w:lang w:val="en-US" w:eastAsia="zh-CN" w:bidi="ar-SA"/>
        </w:rPr>
        <w:t>座</w:t>
      </w:r>
      <w:r>
        <w:rPr>
          <w:rFonts w:hint="eastAsia" w:ascii="黑体" w:hAnsi="黑体" w:eastAsia="黑体" w:cs="黑体"/>
          <w:b w:val="0"/>
          <w:bCs/>
          <w:kern w:val="2"/>
          <w:sz w:val="21"/>
          <w:szCs w:val="21"/>
          <w:lang w:val="en-US" w:eastAsia="zh-CN" w:bidi="ar-SA"/>
        </w:rPr>
        <w:t>果率统计</w:t>
      </w:r>
    </w:p>
    <w:p w14:paraId="4A45AC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于谢花后两周统计坐果率，检查授粉效果。</w:t>
      </w:r>
    </w:p>
    <w:p w14:paraId="3227F84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729063F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09983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08BE6E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4467206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41AB3D0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12A3F1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17" w:name="_GoBack"/>
      <w:bookmarkEnd w:id="17"/>
    </w:p>
    <w:p w14:paraId="1D461635">
      <w:pPr>
        <w:pStyle w:val="26"/>
        <w:framePr w:wrap="around" w:vAnchor="text" w:hAnchor="page" w:x="4617" w:y="312"/>
      </w:pPr>
      <w:r>
        <w:t>_________________________________</w:t>
      </w:r>
    </w:p>
    <w:p w14:paraId="1B500E6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00F5BB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42FDC">
    <w:pPr>
      <w:pStyle w:val="25"/>
    </w:pPr>
    <w:r>
      <w:fldChar w:fldCharType="begin"/>
    </w:r>
    <w:r>
      <w:instrText xml:space="preserve"> PAGE  \* MERGEFORMAT </w:instrText>
    </w:r>
    <w:r>
      <w:fldChar w:fldCharType="separate"/>
    </w:r>
    <w: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A2C83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160C2">
    <w:pPr>
      <w:pStyle w:val="23"/>
      <w:rPr>
        <w:rFonts w:hint="eastAsia" w:eastAsia="黑体"/>
        <w:lang w:val="en-US" w:eastAsia="zh-CN"/>
      </w:rPr>
    </w:pPr>
    <w:r>
      <w:rPr>
        <w:rFonts w:hint="eastAsia"/>
        <w:lang w:eastAsia="zh-CN"/>
      </w:rPr>
      <w:tab/>
    </w:r>
    <w:r>
      <w:t>DB61/</w:t>
    </w:r>
    <w:r>
      <w:rPr>
        <w:rFonts w:hint="eastAsia"/>
      </w:rPr>
      <w:t>T</w:t>
    </w:r>
    <w:r>
      <w:t xml:space="preserve"> ****—202</w:t>
    </w:r>
    <w:r>
      <w:rPr>
        <w:rFonts w:hint="eastAsia"/>
        <w:lang w:val="en-US" w:eastAsia="zh-CN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3A4E4">
    <w:pPr>
      <w:pStyle w:val="24"/>
    </w:pPr>
    <w:r>
      <w:t>DB61/T ****—2020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543D3"/>
    <w:rsid w:val="6205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56" w:beforeLines="50" w:after="156" w:afterLines="50" w:line="400" w:lineRule="exact"/>
      <w:jc w:val="left"/>
      <w:outlineLvl w:val="1"/>
    </w:pPr>
    <w:rPr>
      <w:rFonts w:ascii="黑体" w:hAnsi="Times New Roman" w:eastAsia="黑体"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文献分类号"/>
    <w:autoRedefine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7">
    <w:name w:val="其他标准标志"/>
    <w:basedOn w:val="8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8">
    <w:name w:val="标准标志"/>
    <w:next w:val="1"/>
    <w:autoRedefine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9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1">
    <w:name w:val="封面标准名称"/>
    <w:autoRedefine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">
    <w:name w:val="封面一致性程度标识"/>
    <w:basedOn w:val="13"/>
    <w:qFormat/>
    <w:uiPriority w:val="0"/>
    <w:pPr>
      <w:spacing w:before="440"/>
    </w:pPr>
    <w:rPr>
      <w:rFonts w:ascii="宋体" w:eastAsia="宋体"/>
    </w:rPr>
  </w:style>
  <w:style w:type="paragraph" w:customStyle="1" w:styleId="13">
    <w:name w:val="封面标准英文名称"/>
    <w:basedOn w:val="11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4">
    <w:name w:val="其他发布日期"/>
    <w:basedOn w:val="15"/>
    <w:qFormat/>
    <w:uiPriority w:val="0"/>
    <w:pPr>
      <w:framePr w:vAnchor="page" w:hAnchor="page" w:x="1419"/>
    </w:pPr>
  </w:style>
  <w:style w:type="paragraph" w:customStyle="1" w:styleId="15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">
    <w:name w:val="其他实施日期"/>
    <w:basedOn w:val="17"/>
    <w:autoRedefine/>
    <w:qFormat/>
    <w:uiPriority w:val="0"/>
  </w:style>
  <w:style w:type="paragraph" w:customStyle="1" w:styleId="17">
    <w:name w:val="实施日期"/>
    <w:basedOn w:val="15"/>
    <w:autoRedefine/>
    <w:qFormat/>
    <w:uiPriority w:val="0"/>
    <w:pPr>
      <w:framePr w:vAnchor="page" w:hAnchor="page"/>
      <w:jc w:val="right"/>
    </w:pPr>
  </w:style>
  <w:style w:type="paragraph" w:customStyle="1" w:styleId="18">
    <w:name w:val="其他发布部门"/>
    <w:basedOn w:val="19"/>
    <w:autoRedefine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9">
    <w:name w:val="发布部门"/>
    <w:next w:val="20"/>
    <w:autoRedefine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20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1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22">
    <w:name w:val="目次、标准名称标题"/>
    <w:basedOn w:val="1"/>
    <w:next w:val="20"/>
    <w:autoRedefine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3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4">
    <w:name w:val="标准书眉_偶数页"/>
    <w:basedOn w:val="23"/>
    <w:next w:val="1"/>
    <w:qFormat/>
    <w:uiPriority w:val="0"/>
    <w:pPr>
      <w:jc w:val="left"/>
    </w:pPr>
    <w:rPr>
      <w:rFonts w:ascii="黑体" w:eastAsia="黑体"/>
    </w:rPr>
  </w:style>
  <w:style w:type="paragraph" w:customStyle="1" w:styleId="2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6">
    <w:name w:val="终结线"/>
    <w:basedOn w:val="1"/>
    <w:qFormat/>
    <w:uiPriority w:val="0"/>
    <w:pPr>
      <w:framePr w:hSpace="181" w:vSpace="181" w:wrap="around" w:vAnchor="text" w:hAnchor="margin" w:xAlign="center" w:y="285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2025-03-13T08:29:00Z</dcterms:created>
  <dc:creator>JAM</dc:creator>
  <cp:lastModifiedBy>JAM</cp:lastModifiedBy>
  <dcterms:modified xsi:type="dcterms:W3CDTF">2025-03-13T08:31:28Z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AD2D768B5B6F4C5FA8C43C167F188D40_11</vt:lpwstr>
  </property>
  <property fmtid="{D5CDD505-2E9C-101B-9397-08002B2CF9AE}" pid="4" name="KSOTemplateDocerSaveRecord">
    <vt:lpwstr>eyJoZGlkIjoiNTg2NGFjYzA5MzRjZGJiZTQwNDg5NzNmZDgyZmI0MGMiLCJ1c2VySWQiOiIzOTMzNjkyNDQifQ==</vt:lpwstr>
  </property>
</Properties>
</file>